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825502" w14:textId="77777777" w:rsidR="00FE6099" w:rsidRPr="00FE6099" w:rsidRDefault="00AE0C26" w:rsidP="00FE6099">
      <w:pPr>
        <w:pStyle w:val="Titolocopertina"/>
        <w:ind w:left="284"/>
      </w:pPr>
      <w:r w:rsidRPr="00FE6099">
        <w:t>GARA PER</w:t>
      </w:r>
      <w:r w:rsidR="00827C3B" w:rsidRPr="00FE6099">
        <w:t xml:space="preserve"> </w:t>
      </w:r>
      <w:r w:rsidR="00FE6099" w:rsidRPr="00FE6099">
        <w:t xml:space="preserve">LA FORNITURA DI GAS NATURALE E DEI SERVIZI CONNESSI PER LE PUBBLICHE AMMINISTRAZIONI  </w:t>
      </w:r>
    </w:p>
    <w:p w14:paraId="6503FAAD" w14:textId="77777777" w:rsidR="00FE6099" w:rsidRPr="00FE6099" w:rsidRDefault="00FE6099" w:rsidP="00FE6099">
      <w:pPr>
        <w:pStyle w:val="Titolocopertina"/>
        <w:ind w:left="284"/>
      </w:pPr>
    </w:p>
    <w:p w14:paraId="450B963B" w14:textId="64B4AD97" w:rsidR="00827C3B" w:rsidRPr="00FE6099" w:rsidRDefault="00FE6099" w:rsidP="00FE6099">
      <w:pPr>
        <w:pStyle w:val="Titolocopertina"/>
        <w:ind w:left="284"/>
      </w:pPr>
      <w:r w:rsidRPr="00FE6099">
        <w:t>EDIZIONE 14</w:t>
      </w:r>
    </w:p>
    <w:p w14:paraId="73C3470E" w14:textId="77777777" w:rsidR="00BE2716" w:rsidRPr="00FE6099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90BEABA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FE6099">
        <w:t xml:space="preserve">TECNICO - </w:t>
      </w:r>
      <w:r w:rsidRPr="00BF13C1">
        <w:t>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766C1957" w:rsidR="00BE2716" w:rsidRPr="00FE6099" w:rsidRDefault="00A731FD" w:rsidP="00FE6099">
      <w:pPr>
        <w:spacing w:line="360" w:lineRule="auto"/>
        <w:ind w:firstLine="284"/>
        <w:rPr>
          <w:rStyle w:val="Collegamentoipertestuale"/>
          <w:i/>
        </w:rPr>
      </w:pPr>
      <w:hyperlink r:id="rId8" w:history="1">
        <w:r w:rsidR="00FE6099" w:rsidRPr="00FE6099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  <w:r w:rsidR="00FE6099" w:rsidRPr="00FE6099">
        <w:rPr>
          <w:rStyle w:val="Collegamentoipertestuale"/>
          <w:rFonts w:asciiTheme="minorHAnsi" w:hAnsiTheme="minorHAnsi" w:cs="Arial"/>
          <w:b/>
          <w:i/>
          <w:sz w:val="20"/>
          <w:szCs w:val="20"/>
        </w:rPr>
        <w:t xml:space="preserve"> </w:t>
      </w:r>
    </w:p>
    <w:p w14:paraId="6D9D1F6C" w14:textId="77777777" w:rsidR="00BE2716" w:rsidRPr="00FE6099" w:rsidRDefault="00BE2716" w:rsidP="00FE6099">
      <w:pPr>
        <w:spacing w:line="360" w:lineRule="auto"/>
        <w:ind w:firstLine="284"/>
        <w:rPr>
          <w:rStyle w:val="Collegamentoipertestuale"/>
          <w:i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49C8883E" w:rsidR="00735A27" w:rsidRPr="00A136D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136DD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A136DD" w:rsidRPr="00A136DD">
        <w:rPr>
          <w:rFonts w:asciiTheme="minorHAnsi" w:hAnsiTheme="minorHAnsi" w:cs="Arial"/>
          <w:bCs/>
          <w:sz w:val="20"/>
          <w:szCs w:val="20"/>
        </w:rPr>
        <w:t>0</w:t>
      </w:r>
      <w:r w:rsidR="00D40FDC">
        <w:rPr>
          <w:rFonts w:asciiTheme="minorHAnsi" w:hAnsiTheme="minorHAnsi" w:cs="Arial"/>
          <w:bCs/>
          <w:sz w:val="20"/>
          <w:szCs w:val="20"/>
        </w:rPr>
        <w:t>3</w:t>
      </w:r>
      <w:r w:rsidR="00A136DD" w:rsidRPr="00A136DD">
        <w:rPr>
          <w:rFonts w:asciiTheme="minorHAnsi" w:hAnsiTheme="minorHAnsi" w:cs="Arial"/>
          <w:bCs/>
          <w:sz w:val="20"/>
          <w:szCs w:val="20"/>
        </w:rPr>
        <w:t>/03/2021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FE6099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E6099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FE6099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503393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503393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503393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3073CD74" w:rsidR="00A52032" w:rsidRPr="008A1AFD" w:rsidRDefault="00F8539B" w:rsidP="00503393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46313D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1BDBF2DE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FE6099" w:rsidRPr="00FE6099">
        <w:rPr>
          <w:rFonts w:asciiTheme="minorHAnsi" w:hAnsiTheme="minorHAnsi" w:cs="Arial"/>
          <w:b/>
          <w:bCs/>
          <w:sz w:val="20"/>
          <w:szCs w:val="20"/>
        </w:rPr>
        <w:t>Gas Naturale 14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FE6099">
        <w:rPr>
          <w:rFonts w:asciiTheme="minorHAnsi" w:hAnsiTheme="minorHAnsi" w:cs="Arial"/>
          <w:bCs/>
          <w:sz w:val="20"/>
          <w:szCs w:val="20"/>
        </w:rPr>
        <w:t xml:space="preserve"> il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136DD">
        <w:rPr>
          <w:rFonts w:asciiTheme="minorHAnsi" w:hAnsiTheme="minorHAnsi" w:cs="Arial"/>
          <w:b/>
          <w:bCs/>
          <w:sz w:val="20"/>
          <w:szCs w:val="20"/>
          <w:u w:val="single"/>
        </w:rPr>
        <w:t>1</w:t>
      </w:r>
      <w:r w:rsidR="00D40FDC">
        <w:rPr>
          <w:rFonts w:asciiTheme="minorHAnsi" w:hAnsiTheme="minorHAnsi" w:cs="Arial"/>
          <w:b/>
          <w:bCs/>
          <w:sz w:val="20"/>
          <w:szCs w:val="20"/>
          <w:u w:val="single"/>
        </w:rPr>
        <w:t>9</w:t>
      </w:r>
      <w:r w:rsidR="00FE6099" w:rsidRPr="00FE60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Marzo 2021</w:t>
      </w:r>
      <w:r w:rsidR="00FE609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FE6099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FE6099" w:rsidRPr="00ED01A5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FE6099">
        <w:rPr>
          <w:rFonts w:asciiTheme="minorHAnsi" w:hAnsiTheme="minorHAnsi" w:cstheme="minorHAnsi"/>
          <w:sz w:val="20"/>
          <w:szCs w:val="20"/>
        </w:rPr>
        <w:t xml:space="preserve">.   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58B9DF05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Breve descrizione dell’iniziativa </w:t>
      </w:r>
    </w:p>
    <w:p w14:paraId="4B6DBF41" w14:textId="77777777" w:rsidR="00FE6099" w:rsidRPr="00636E73" w:rsidRDefault="00FE6099" w:rsidP="00FE609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Consip intende bandire una gara d’appalto per la fornitura di </w:t>
      </w:r>
      <w:r>
        <w:rPr>
          <w:rFonts w:asciiTheme="minorHAnsi" w:hAnsiTheme="minorHAnsi" w:cs="Arial"/>
          <w:bCs/>
          <w:sz w:val="20"/>
          <w:szCs w:val="20"/>
        </w:rPr>
        <w:t>gas naturale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e dei servizi connessi per le Pubbliche Amministrazioni, suddivisa in lotti geografici. A seguito della gara sarà stipulata una convenzione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4C4F058B" w14:textId="76925C5B" w:rsidR="00FE6099" w:rsidRDefault="00FE6099" w:rsidP="00FE609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Ciascuna convenzione avrà un periodo indicativo di adesione di 12 mesi, eventualmente prorogabili. I singoli contratti di fornitura, attivati dalle Pubbliche Amministrazioni mediante l’adesione alla convenzione, avranno una </w:t>
      </w:r>
      <w:r w:rsidRPr="008E58E0">
        <w:rPr>
          <w:rFonts w:asciiTheme="minorHAnsi" w:hAnsiTheme="minorHAnsi" w:cs="Arial"/>
          <w:bCs/>
          <w:sz w:val="20"/>
          <w:szCs w:val="20"/>
        </w:rPr>
        <w:t xml:space="preserve">durata </w:t>
      </w:r>
      <w:r>
        <w:rPr>
          <w:rFonts w:asciiTheme="minorHAnsi" w:hAnsiTheme="minorHAnsi" w:cs="Arial"/>
          <w:bCs/>
          <w:sz w:val="20"/>
          <w:szCs w:val="20"/>
        </w:rPr>
        <w:t>di</w:t>
      </w:r>
      <w:r w:rsidRPr="008E58E0">
        <w:rPr>
          <w:rFonts w:asciiTheme="minorHAnsi" w:hAnsiTheme="minorHAnsi" w:cs="Arial"/>
          <w:bCs/>
          <w:sz w:val="20"/>
          <w:szCs w:val="20"/>
        </w:rPr>
        <w:t xml:space="preserve"> 12</w:t>
      </w:r>
      <w:r>
        <w:rPr>
          <w:rFonts w:asciiTheme="minorHAnsi" w:hAnsiTheme="minorHAnsi" w:cs="Arial"/>
          <w:bCs/>
          <w:sz w:val="20"/>
          <w:szCs w:val="20"/>
        </w:rPr>
        <w:t xml:space="preserve"> o 24</w:t>
      </w:r>
      <w:r w:rsidRPr="008E58E0">
        <w:rPr>
          <w:rFonts w:asciiTheme="minorHAnsi" w:hAnsiTheme="minorHAnsi" w:cs="Arial"/>
          <w:bCs/>
          <w:sz w:val="20"/>
          <w:szCs w:val="20"/>
        </w:rPr>
        <w:t xml:space="preserve"> mesi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0E9472AD" w14:textId="77777777" w:rsidR="00FE6099" w:rsidRPr="00B64F2F" w:rsidRDefault="00FE6099" w:rsidP="00FE609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177B8">
        <w:rPr>
          <w:rFonts w:asciiTheme="minorHAnsi" w:hAnsiTheme="minorHAnsi" w:cs="Arial"/>
          <w:bCs/>
          <w:sz w:val="20"/>
          <w:szCs w:val="20"/>
        </w:rPr>
        <w:t>Si precisa che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58E0">
        <w:rPr>
          <w:rFonts w:asciiTheme="minorHAnsi" w:hAnsiTheme="minorHAnsi" w:cs="Arial"/>
          <w:bCs/>
          <w:i/>
          <w:sz w:val="20"/>
          <w:szCs w:val="20"/>
        </w:rPr>
        <w:t>i)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3177B8">
        <w:rPr>
          <w:rFonts w:asciiTheme="minorHAnsi" w:hAnsiTheme="minorHAnsi" w:cs="Arial"/>
          <w:bCs/>
          <w:sz w:val="20"/>
          <w:szCs w:val="20"/>
        </w:rPr>
        <w:t>il quantitativo massimo non è garantito;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58E0">
        <w:rPr>
          <w:rFonts w:asciiTheme="minorHAnsi" w:hAnsiTheme="minorHAnsi" w:cs="Arial"/>
          <w:bCs/>
          <w:i/>
          <w:sz w:val="20"/>
          <w:szCs w:val="20"/>
        </w:rPr>
        <w:t>ii)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Pr="00B64F2F">
        <w:rPr>
          <w:rFonts w:asciiTheme="minorHAnsi" w:hAnsiTheme="minorHAnsi" w:cs="Arial"/>
          <w:bCs/>
          <w:sz w:val="20"/>
          <w:szCs w:val="20"/>
        </w:rPr>
        <w:t>non è conosciuta a priori la distribuzione delle adesioni, né in termini geografici, né quantitativi, né qualitativi.</w:t>
      </w:r>
    </w:p>
    <w:p w14:paraId="70000DC4" w14:textId="054E9E4D" w:rsidR="00FE6099" w:rsidRDefault="00FE6099" w:rsidP="00FE609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64F2F">
        <w:rPr>
          <w:rFonts w:asciiTheme="minorHAnsi" w:hAnsiTheme="minorHAnsi" w:cs="Arial"/>
          <w:bCs/>
          <w:sz w:val="20"/>
          <w:szCs w:val="20"/>
        </w:rPr>
        <w:t>Ulteriori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dati relativi ai consumi della PA in generale, e a quelle utilizzatrici delle convenzioni Consip, sono disponibili nella sezione Documentazione riservata all’iniziativa </w:t>
      </w:r>
      <w:r>
        <w:rPr>
          <w:rFonts w:asciiTheme="minorHAnsi" w:hAnsiTheme="minorHAnsi" w:cs="Arial"/>
          <w:bCs/>
          <w:sz w:val="20"/>
          <w:szCs w:val="20"/>
        </w:rPr>
        <w:t>Gas Naturale 13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sul portale </w:t>
      </w:r>
      <w:r w:rsidRPr="008576CE">
        <w:rPr>
          <w:rFonts w:asciiTheme="minorHAnsi" w:hAnsiTheme="minorHAnsi" w:cs="Arial"/>
          <w:bCs/>
          <w:sz w:val="20"/>
          <w:szCs w:val="20"/>
        </w:rPr>
        <w:t>www.acquistinretepa.it (file Excel Dati Generali Sui Consumi Di Gas Naturale Delle Pubbliche Amministrazioni).</w:t>
      </w:r>
    </w:p>
    <w:p w14:paraId="39C3C648" w14:textId="0FB07AB7" w:rsidR="00FA737A" w:rsidRDefault="00FA737A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00608AB0" w14:textId="0C1EB3DB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10E68FDC" w14:textId="06B4C5AC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600FFC59" w14:textId="39DE458B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1F1EABA2" w14:textId="740332BD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39BE6ACE" w14:textId="5B7BA685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31B034A7" w14:textId="146A0AE1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4330209F" w14:textId="6CEF7CE5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3A974125" w14:textId="77777777" w:rsidR="00FE6099" w:rsidRPr="000F7A00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269A802A" w14:textId="77777777" w:rsidR="005A258D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4D0AB01" w14:textId="77777777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164051D" w14:textId="77777777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1C9D516" w14:textId="77777777" w:rsidR="00FE6099" w:rsidRDefault="00FE6099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D99B963" w14:textId="7EFC2349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Domande </w:t>
      </w:r>
    </w:p>
    <w:p w14:paraId="0CB176C2" w14:textId="26293866" w:rsidR="00FE6099" w:rsidRPr="00FE6099" w:rsidRDefault="00FE6099" w:rsidP="00503393">
      <w:pPr>
        <w:pStyle w:val="Paragrafoelenco"/>
        <w:numPr>
          <w:ilvl w:val="0"/>
          <w:numId w:val="4"/>
        </w:numPr>
        <w:spacing w:after="120"/>
        <w:ind w:left="357" w:hanging="357"/>
        <w:rPr>
          <w:rFonts w:asciiTheme="minorHAnsi" w:hAnsiTheme="minorHAnsi" w:cs="Arial"/>
          <w:bCs/>
          <w:sz w:val="20"/>
          <w:szCs w:val="20"/>
        </w:rPr>
      </w:pPr>
      <w:r w:rsidRPr="00FE6099">
        <w:rPr>
          <w:rFonts w:asciiTheme="minorHAnsi" w:hAnsiTheme="minorHAnsi" w:cs="Arial"/>
          <w:bCs/>
          <w:sz w:val="20"/>
          <w:szCs w:val="20"/>
        </w:rPr>
        <w:t xml:space="preserve">Si prevede di mettere a gara la fornitura di </w:t>
      </w:r>
      <w:r>
        <w:rPr>
          <w:rFonts w:asciiTheme="minorHAnsi" w:hAnsiTheme="minorHAnsi" w:cs="Arial"/>
          <w:bCs/>
          <w:sz w:val="20"/>
          <w:szCs w:val="20"/>
        </w:rPr>
        <w:t>gas naturale</w:t>
      </w:r>
      <w:r w:rsidRPr="00FE6099">
        <w:rPr>
          <w:rFonts w:asciiTheme="minorHAnsi" w:hAnsiTheme="minorHAnsi" w:cs="Arial"/>
          <w:bCs/>
          <w:sz w:val="20"/>
          <w:szCs w:val="20"/>
        </w:rPr>
        <w:t xml:space="preserve"> e dei servizi connessi per le Pubbliche Amministrazioni sulla base di differenti lotti geografici. Sarebbe interessato a partecipare alla gara in oggetto? In caso negativo quali sono le principali motivazioni?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3DD5CBE" w14:textId="4E5D3B7A" w:rsidR="00D61502" w:rsidRPr="00D61502" w:rsidRDefault="00D61502" w:rsidP="00503393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61502">
        <w:rPr>
          <w:rFonts w:asciiTheme="minorHAnsi" w:hAnsiTheme="minorHAnsi" w:cs="Arial"/>
          <w:bCs/>
          <w:sz w:val="20"/>
          <w:szCs w:val="20"/>
        </w:rPr>
        <w:t xml:space="preserve">Indicare il fatturato dell’azienda per la fornitura di </w:t>
      </w:r>
      <w:r>
        <w:rPr>
          <w:rFonts w:asciiTheme="minorHAnsi" w:hAnsiTheme="minorHAnsi" w:cs="Arial"/>
          <w:bCs/>
          <w:sz w:val="20"/>
          <w:szCs w:val="20"/>
        </w:rPr>
        <w:t>gas naturale</w:t>
      </w:r>
      <w:r w:rsidRPr="00D61502">
        <w:rPr>
          <w:rFonts w:asciiTheme="minorHAnsi" w:hAnsiTheme="minorHAnsi" w:cs="Arial"/>
          <w:bCs/>
          <w:sz w:val="20"/>
          <w:szCs w:val="20"/>
        </w:rPr>
        <w:t xml:space="preserve"> relativo agli ultimi tre esercizi finanziari approvati alla data di pubblicazione del presente Documento di consultazione del mercato.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56D171BA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AE6123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E3B9E7F" w14:textId="5229823D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</w:p>
    <w:p w14:paraId="00B5AEC2" w14:textId="126691CF" w:rsidR="00D61502" w:rsidRDefault="00D61502" w:rsidP="0050339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In quale percentuale il fatturato medio annuo per contratti </w:t>
      </w:r>
      <w:r>
        <w:rPr>
          <w:rFonts w:asciiTheme="minorHAnsi" w:hAnsiTheme="minorHAnsi" w:cs="Arial"/>
          <w:bCs/>
          <w:sz w:val="20"/>
          <w:szCs w:val="20"/>
        </w:rPr>
        <w:t>di fornitura di gas naturale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deriva da contratti stipulati con la PA? 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2C870A89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4FDED57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EC1DE59" w14:textId="77777777" w:rsidR="00D61502" w:rsidRDefault="00D61502" w:rsidP="00D61502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C38F5E" w14:textId="6F1AB5EB" w:rsidR="00D61502" w:rsidRDefault="00D61502" w:rsidP="0050339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numero di dipendenti dell’azienda nei tre anni precedenti alla pubblicazione del </w:t>
      </w:r>
      <w:r w:rsidRPr="00FA34AF">
        <w:rPr>
          <w:rFonts w:asciiTheme="minorHAnsi" w:hAnsiTheme="minorHAnsi" w:cs="Arial"/>
          <w:bCs/>
          <w:sz w:val="20"/>
          <w:szCs w:val="20"/>
        </w:rPr>
        <w:t>presente 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28008E24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75FF9D8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76463D" w14:textId="1643654B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233A480" w14:textId="17B33D6C" w:rsidR="00D61502" w:rsidRPr="00EF0D43" w:rsidRDefault="00D61502" w:rsidP="0050339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prevede di mettere a gara la fornitura di </w:t>
      </w:r>
      <w:r w:rsidR="002F79F9">
        <w:rPr>
          <w:rFonts w:asciiTheme="minorHAnsi" w:hAnsiTheme="minorHAnsi" w:cs="Arial"/>
          <w:bCs/>
          <w:sz w:val="20"/>
          <w:szCs w:val="20"/>
        </w:rPr>
        <w:t>gas naturale</w:t>
      </w:r>
      <w:r>
        <w:rPr>
          <w:rFonts w:asciiTheme="minorHAnsi" w:hAnsiTheme="minorHAnsi" w:cs="Arial"/>
          <w:bCs/>
          <w:sz w:val="20"/>
          <w:szCs w:val="20"/>
        </w:rPr>
        <w:t xml:space="preserve"> e dei servizi connessi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sulla base di differenti lotti geografici. Quali sono le aree 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del territorio italiano </w:t>
      </w:r>
      <w:r>
        <w:rPr>
          <w:rFonts w:asciiTheme="minorHAnsi" w:hAnsiTheme="minorHAnsi" w:cs="Arial"/>
          <w:bCs/>
          <w:sz w:val="20"/>
          <w:szCs w:val="20"/>
        </w:rPr>
        <w:t>di vostro interesse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4EBD3991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23AA447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291A1F3" w14:textId="2FDEEC61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AA277A" w14:textId="63D6FF30" w:rsidR="005919DB" w:rsidRPr="005919DB" w:rsidRDefault="005919DB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5919DB">
        <w:rPr>
          <w:rFonts w:asciiTheme="minorHAnsi" w:hAnsiTheme="minorHAnsi" w:cs="Arial"/>
          <w:bCs/>
          <w:sz w:val="20"/>
          <w:szCs w:val="20"/>
        </w:rPr>
        <w:t>Per l’edizione “</w:t>
      </w:r>
      <w:r>
        <w:rPr>
          <w:rFonts w:asciiTheme="minorHAnsi" w:hAnsiTheme="minorHAnsi" w:cs="Arial"/>
          <w:bCs/>
          <w:sz w:val="20"/>
          <w:szCs w:val="20"/>
        </w:rPr>
        <w:t>Gas Naturale</w:t>
      </w:r>
      <w:r w:rsidRPr="005919D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14</w:t>
      </w:r>
      <w:r w:rsidRPr="005919DB">
        <w:rPr>
          <w:rFonts w:asciiTheme="minorHAnsi" w:hAnsiTheme="minorHAnsi" w:cs="Arial"/>
          <w:bCs/>
          <w:sz w:val="20"/>
          <w:szCs w:val="20"/>
        </w:rPr>
        <w:t xml:space="preserve">” è in valutazione l’introduzione dell’obbligo, per gli aggiudicatari, di offrire alle Amministrazioni contraenti un servizio di fatturazione – anche elettronica – unica/aggregata per centri di costo. Siete in possesso di un servizio del genere? Come valutate l’inserimento di un simile vincolo? Riuscireste a renderlo disponibile per particolari clienti (es. n. </w:t>
      </w:r>
      <w:proofErr w:type="spellStart"/>
      <w:r w:rsidRPr="005919DB">
        <w:rPr>
          <w:rFonts w:asciiTheme="minorHAnsi" w:hAnsiTheme="minorHAnsi" w:cs="Arial"/>
          <w:bCs/>
          <w:sz w:val="20"/>
          <w:szCs w:val="20"/>
        </w:rPr>
        <w:t>P</w:t>
      </w:r>
      <w:r>
        <w:rPr>
          <w:rFonts w:asciiTheme="minorHAnsi" w:hAnsiTheme="minorHAnsi" w:cs="Arial"/>
          <w:bCs/>
          <w:sz w:val="20"/>
          <w:szCs w:val="20"/>
        </w:rPr>
        <w:t>dR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/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PdC</w:t>
      </w:r>
      <w:proofErr w:type="spellEnd"/>
      <w:r w:rsidRPr="005919DB">
        <w:rPr>
          <w:rFonts w:asciiTheme="minorHAnsi" w:hAnsiTheme="minorHAnsi" w:cs="Arial"/>
          <w:bCs/>
          <w:sz w:val="20"/>
          <w:szCs w:val="20"/>
        </w:rPr>
        <w:t xml:space="preserve"> maggiore di 100)?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919DB" w14:paraId="6203E73D" w14:textId="77777777" w:rsidTr="009616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496A34F" w14:textId="77777777" w:rsidR="005919DB" w:rsidRDefault="005919DB" w:rsidP="009616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82783E" w14:textId="77777777" w:rsidR="005919DB" w:rsidRPr="005919DB" w:rsidRDefault="005919DB" w:rsidP="005919DB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4BF083" w14:textId="3BD4E54A" w:rsidR="005919DB" w:rsidRPr="005919DB" w:rsidRDefault="005919DB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5919DB">
        <w:rPr>
          <w:rFonts w:asciiTheme="minorHAnsi" w:hAnsiTheme="minorHAnsi" w:cs="Arial"/>
          <w:bCs/>
          <w:sz w:val="20"/>
          <w:szCs w:val="20"/>
        </w:rPr>
        <w:t xml:space="preserve">Con riferimento alla domanda precedente, in caso non foste in possesso di un servizio di fatturazione aggregata da offrire alle Amministrazioni contraenti, quale strumento </w:t>
      </w:r>
      <w:r w:rsidR="0046313D">
        <w:rPr>
          <w:rFonts w:asciiTheme="minorHAnsi" w:hAnsiTheme="minorHAnsi" w:cs="Arial"/>
          <w:bCs/>
          <w:sz w:val="20"/>
          <w:szCs w:val="20"/>
        </w:rPr>
        <w:t xml:space="preserve">potete proporre come </w:t>
      </w:r>
      <w:r w:rsidRPr="005919DB">
        <w:rPr>
          <w:rFonts w:asciiTheme="minorHAnsi" w:hAnsiTheme="minorHAnsi" w:cs="Arial"/>
          <w:bCs/>
          <w:sz w:val="20"/>
          <w:szCs w:val="20"/>
        </w:rPr>
        <w:t xml:space="preserve">alternativo alla fatturazione unica/aggregata per centri di costo?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919DB" w14:paraId="52262A60" w14:textId="77777777" w:rsidTr="009616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063DD1B" w14:textId="77777777" w:rsidR="005919DB" w:rsidRDefault="005919DB" w:rsidP="009616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B3A3FBE" w14:textId="77777777" w:rsidR="005919DB" w:rsidRDefault="005919DB" w:rsidP="005919DB">
      <w:pPr>
        <w:pStyle w:val="Paragrafoelenco"/>
        <w:spacing w:after="120"/>
        <w:ind w:left="360"/>
        <w:rPr>
          <w:rFonts w:asciiTheme="minorHAnsi" w:hAnsiTheme="minorHAnsi" w:cs="Arial"/>
          <w:bCs/>
          <w:sz w:val="20"/>
          <w:szCs w:val="20"/>
        </w:rPr>
      </w:pPr>
    </w:p>
    <w:p w14:paraId="1BBA16F5" w14:textId="71A050FC" w:rsidR="00D61502" w:rsidRPr="00636E73" w:rsidRDefault="00D61502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CE6A88">
        <w:rPr>
          <w:rFonts w:asciiTheme="minorHAnsi" w:hAnsiTheme="minorHAnsi" w:cs="Arial"/>
          <w:bCs/>
          <w:sz w:val="20"/>
          <w:szCs w:val="20"/>
        </w:rPr>
        <w:t>Con riferimento al Bando Consip Gas Naturale ed. 1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 (www.acquistiretepa.it &gt; </w:t>
      </w:r>
      <w:r>
        <w:rPr>
          <w:rFonts w:asciiTheme="minorHAnsi" w:hAnsiTheme="minorHAnsi" w:cs="Arial"/>
          <w:bCs/>
          <w:sz w:val="20"/>
          <w:szCs w:val="20"/>
        </w:rPr>
        <w:t>Acquista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 &gt; Convenzioni &gt; Gas Naturale 1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), ad oggi quali ritenete siano </w:t>
      </w:r>
      <w:r w:rsidR="0046313D">
        <w:rPr>
          <w:rFonts w:asciiTheme="minorHAnsi" w:hAnsiTheme="minorHAnsi" w:cs="Arial"/>
          <w:bCs/>
          <w:sz w:val="20"/>
          <w:szCs w:val="20"/>
        </w:rPr>
        <w:t xml:space="preserve">stati 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i </w:t>
      </w:r>
      <w:r w:rsidR="0046313D">
        <w:rPr>
          <w:rFonts w:asciiTheme="minorHAnsi" w:hAnsiTheme="minorHAnsi" w:cs="Arial"/>
          <w:bCs/>
          <w:sz w:val="20"/>
          <w:szCs w:val="20"/>
        </w:rPr>
        <w:t>vantaggi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 e le criticità?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05514F35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CD51347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1F02AF" w14:textId="7AEE94D5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28092" w14:textId="4E466E9A" w:rsidR="00D61502" w:rsidRPr="008D5686" w:rsidRDefault="00D61502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CE6A88">
        <w:rPr>
          <w:rFonts w:asciiTheme="minorHAnsi" w:hAnsiTheme="minorHAnsi" w:cs="Arial"/>
          <w:bCs/>
          <w:sz w:val="20"/>
          <w:szCs w:val="20"/>
        </w:rPr>
        <w:t>Nel Bando Consip Gas Naturale ed. 1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CE6A88">
        <w:rPr>
          <w:rFonts w:asciiTheme="minorHAnsi" w:hAnsiTheme="minorHAnsi" w:cs="Arial"/>
          <w:bCs/>
          <w:sz w:val="20"/>
          <w:szCs w:val="20"/>
        </w:rPr>
        <w:t xml:space="preserve"> è stato adottato, per le forniture a prezzo fisso, un sistema di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basato sulle quotazioni a termine, in particolare sulle medie aritmetiche delle quotazioni giornaliere “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Offer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” dei 4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Quarter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di riferimento che approssimano meglio i 12 mesi di fornitura, rilevate, da ICIS-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Heren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>, nei primi 15 giorni solari del terzo mese antecedente la data di Attivazione della fornitura e pubblicate sull’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Heren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European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Spot Gas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Markets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nel prospetto “TTF Price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lastRenderedPageBreak/>
        <w:t>Assessment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” del Market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Netherland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. Per le forniture a prezzo fisso ritenete questo tipo di </w:t>
      </w:r>
      <w:proofErr w:type="spellStart"/>
      <w:r w:rsidRPr="00CE6A88"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 w:rsidRPr="00CE6A88">
        <w:rPr>
          <w:rFonts w:asciiTheme="minorHAnsi" w:hAnsiTheme="minorHAnsi" w:cs="Arial"/>
          <w:bCs/>
          <w:sz w:val="20"/>
          <w:szCs w:val="20"/>
        </w:rPr>
        <w:t xml:space="preserve"> ancora funzionale per l’iniziativa in oggetto? In caso negativo, motivare e proporre alternative.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6A2CF4C3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5E34077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DD0BC18" w14:textId="14F681C1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541B39F" w14:textId="77777777" w:rsidR="00D61502" w:rsidRPr="008576CE" w:rsidRDefault="00D61502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8576CE">
        <w:rPr>
          <w:rFonts w:asciiTheme="minorHAnsi" w:hAnsiTheme="minorHAnsi" w:cs="Arial"/>
          <w:bCs/>
          <w:sz w:val="20"/>
          <w:szCs w:val="20"/>
        </w:rPr>
        <w:t>Ritenete possibile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576CE">
        <w:rPr>
          <w:rFonts w:asciiTheme="minorHAnsi" w:hAnsiTheme="minorHAnsi" w:cs="Arial"/>
          <w:bCs/>
          <w:sz w:val="20"/>
          <w:szCs w:val="20"/>
        </w:rPr>
        <w:t xml:space="preserve">offrire uno spread fisso su un “prodotto fisso” </w:t>
      </w:r>
      <w:r>
        <w:rPr>
          <w:rFonts w:asciiTheme="minorHAnsi" w:hAnsiTheme="minorHAnsi" w:cs="Arial"/>
          <w:bCs/>
          <w:sz w:val="20"/>
          <w:szCs w:val="20"/>
        </w:rPr>
        <w:t xml:space="preserve">aggiornato mensilmente </w:t>
      </w:r>
      <w:r w:rsidRPr="008576CE">
        <w:rPr>
          <w:rFonts w:asciiTheme="minorHAnsi" w:hAnsiTheme="minorHAnsi" w:cs="Arial"/>
          <w:bCs/>
          <w:sz w:val="20"/>
          <w:szCs w:val="20"/>
        </w:rPr>
        <w:t>per forniture di 18 mesi, calcolato come media aritmetica delle quotazioni giornaliere “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Offer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" dei 6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Quarter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 di riferimento che approssimano meglio i 18 mesi di fornitura, rilevate da ICIS-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Heren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>, nei primi 15 giorni solari del terzo mese antecedente la data di Attivazione della fornitura e pubblicate sull’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Heren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European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 Spot Gas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Markets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 nel prospetto “TTF Price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Assessment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 xml:space="preserve">” del Market </w:t>
      </w:r>
      <w:proofErr w:type="spellStart"/>
      <w:r w:rsidRPr="008576CE">
        <w:rPr>
          <w:rFonts w:asciiTheme="minorHAnsi" w:hAnsiTheme="minorHAnsi" w:cs="Arial"/>
          <w:bCs/>
          <w:sz w:val="20"/>
          <w:szCs w:val="20"/>
        </w:rPr>
        <w:t>Netherland</w:t>
      </w:r>
      <w:proofErr w:type="spellEnd"/>
      <w:r w:rsidRPr="008576CE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24A7F833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9741073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FDC7A0A" w14:textId="77777777" w:rsidR="00D61502" w:rsidRDefault="00D61502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537C90" w14:textId="77777777" w:rsidR="00D61502" w:rsidRPr="008576CE" w:rsidRDefault="00D61502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8576CE">
        <w:rPr>
          <w:rFonts w:asciiTheme="minorHAnsi" w:hAnsiTheme="minorHAnsi" w:cs="Arial"/>
          <w:bCs/>
          <w:sz w:val="20"/>
          <w:szCs w:val="20"/>
        </w:rPr>
        <w:t>Con riferimento alla domanda precedente pensate che sia possibile offrire lo stesso spread sia per le forniture a prezzo fisso di 12 mesi che per quelle di 18 mesi</w:t>
      </w:r>
      <w:r>
        <w:rPr>
          <w:rFonts w:asciiTheme="minorHAnsi" w:hAnsiTheme="minorHAnsi" w:cs="Arial"/>
          <w:bCs/>
          <w:sz w:val="20"/>
          <w:szCs w:val="20"/>
        </w:rPr>
        <w:t xml:space="preserve"> o sarebbe preferibile differenziare i due spread</w:t>
      </w:r>
      <w:r w:rsidRPr="008576CE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1502" w14:paraId="5091636A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ADE6339" w14:textId="77777777" w:rsidR="00D61502" w:rsidRDefault="00D61502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FC4ED4A" w14:textId="77777777" w:rsidR="002F79F9" w:rsidRDefault="002F79F9" w:rsidP="00BA547D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E3592DE" w14:textId="7E35141E" w:rsidR="002F79F9" w:rsidRPr="002370BF" w:rsidRDefault="002F79F9" w:rsidP="0050339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2370BF">
        <w:rPr>
          <w:rFonts w:asciiTheme="minorHAnsi" w:hAnsiTheme="minorHAnsi" w:cs="Arial"/>
          <w:bCs/>
          <w:sz w:val="20"/>
          <w:szCs w:val="20"/>
        </w:rPr>
        <w:t>Con riferimento alla precedente edizione “</w:t>
      </w:r>
      <w:r>
        <w:rPr>
          <w:rFonts w:asciiTheme="minorHAnsi" w:hAnsiTheme="minorHAnsi" w:cs="Arial"/>
          <w:bCs/>
          <w:sz w:val="20"/>
          <w:szCs w:val="20"/>
        </w:rPr>
        <w:t>Gas Naturale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1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2370BF">
        <w:rPr>
          <w:rFonts w:asciiTheme="minorHAnsi" w:hAnsiTheme="minorHAnsi" w:cs="Arial"/>
          <w:bCs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avete riscontrato elementi di criticità </w:t>
      </w:r>
      <w:r>
        <w:rPr>
          <w:rFonts w:asciiTheme="minorHAnsi" w:hAnsiTheme="minorHAnsi" w:cs="Arial"/>
          <w:bCs/>
          <w:sz w:val="20"/>
          <w:szCs w:val="20"/>
        </w:rPr>
        <w:t>relativi alle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forniture a prezzo variabile a 24 mesi?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F79F9" w14:paraId="64DDE7E5" w14:textId="77777777" w:rsidTr="009616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A5E75E7" w14:textId="77777777" w:rsidR="002F79F9" w:rsidRDefault="002F79F9" w:rsidP="009616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8FB1363" w14:textId="2233E3E2" w:rsidR="002F79F9" w:rsidRDefault="002F79F9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4B3B294" w14:textId="66684943" w:rsidR="00CE516A" w:rsidRDefault="00562392" w:rsidP="00562392">
      <w:pPr>
        <w:pStyle w:val="Paragrafoelenco"/>
        <w:numPr>
          <w:ilvl w:val="0"/>
          <w:numId w:val="4"/>
        </w:numPr>
        <w:spacing w:after="120" w:line="276" w:lineRule="auto"/>
        <w:ind w:left="357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562392">
        <w:rPr>
          <w:rFonts w:asciiTheme="minorHAnsi" w:hAnsiTheme="minorHAnsi" w:cs="Arial"/>
          <w:bCs/>
          <w:sz w:val="20"/>
          <w:szCs w:val="20"/>
        </w:rPr>
        <w:lastRenderedPageBreak/>
        <w:t xml:space="preserve">Con riferimento alla precedente domanda ritenete possibile offrire gli stessi spread, differenziati per categoria d’uso e cluster di consumo, da applicare all’elemento </w:t>
      </w:r>
      <w:proofErr w:type="spellStart"/>
      <w:r w:rsidRPr="00CE516A">
        <w:rPr>
          <w:rFonts w:asciiTheme="minorHAnsi" w:hAnsiTheme="minorHAnsi" w:cs="Arial"/>
          <w:b/>
          <w:bCs/>
          <w:sz w:val="20"/>
          <w:szCs w:val="20"/>
        </w:rPr>
        <w:t>P</w:t>
      </w:r>
      <w:r w:rsidRPr="00CE516A">
        <w:rPr>
          <w:rFonts w:asciiTheme="minorHAnsi" w:hAnsiTheme="minorHAnsi" w:cs="Arial"/>
          <w:b/>
          <w:bCs/>
          <w:sz w:val="20"/>
          <w:szCs w:val="20"/>
          <w:vertAlign w:val="subscript"/>
        </w:rPr>
        <w:t>FOR,t</w:t>
      </w:r>
      <w:proofErr w:type="spellEnd"/>
      <w:r w:rsidRPr="00CE516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2392">
        <w:rPr>
          <w:rFonts w:asciiTheme="minorHAnsi" w:hAnsiTheme="minorHAnsi" w:cs="Arial"/>
          <w:bCs/>
          <w:sz w:val="20"/>
          <w:szCs w:val="20"/>
        </w:rPr>
        <w:t xml:space="preserve">- </w:t>
      </w:r>
      <w:r>
        <w:rPr>
          <w:rFonts w:asciiTheme="minorHAnsi" w:hAnsiTheme="minorHAnsi" w:cs="Arial"/>
          <w:bCs/>
          <w:sz w:val="20"/>
          <w:szCs w:val="20"/>
        </w:rPr>
        <w:t>ovvero</w:t>
      </w:r>
      <w:r w:rsidRPr="00562392">
        <w:rPr>
          <w:rFonts w:asciiTheme="minorHAnsi" w:hAnsiTheme="minorHAnsi" w:cs="Arial"/>
          <w:bCs/>
          <w:sz w:val="20"/>
          <w:szCs w:val="20"/>
        </w:rPr>
        <w:t xml:space="preserve"> l’elemento a copertura dei costi di approvvigionamento del gas naturale nel trimestre t-esimo, pari alla media aritmetica delle quotazioni </w:t>
      </w:r>
      <w:proofErr w:type="spellStart"/>
      <w:r w:rsidRPr="00562392">
        <w:rPr>
          <w:rFonts w:asciiTheme="minorHAnsi" w:hAnsiTheme="minorHAnsi" w:cs="Arial"/>
          <w:bCs/>
          <w:sz w:val="20"/>
          <w:szCs w:val="20"/>
        </w:rPr>
        <w:t>forward</w:t>
      </w:r>
      <w:proofErr w:type="spellEnd"/>
      <w:r w:rsidRPr="00562392">
        <w:rPr>
          <w:rFonts w:asciiTheme="minorHAnsi" w:hAnsiTheme="minorHAnsi" w:cs="Arial"/>
          <w:bCs/>
          <w:sz w:val="20"/>
          <w:szCs w:val="20"/>
        </w:rPr>
        <w:t xml:space="preserve"> trimestrali OTC relative al trimestre t-esimo del gas, presso l’</w:t>
      </w:r>
      <w:proofErr w:type="spellStart"/>
      <w:r w:rsidRPr="00562392">
        <w:rPr>
          <w:rFonts w:asciiTheme="minorHAnsi" w:hAnsiTheme="minorHAnsi" w:cs="Arial"/>
          <w:bCs/>
          <w:sz w:val="20"/>
          <w:szCs w:val="20"/>
        </w:rPr>
        <w:t>hub</w:t>
      </w:r>
      <w:proofErr w:type="spellEnd"/>
      <w:r w:rsidRPr="00562392">
        <w:rPr>
          <w:rFonts w:asciiTheme="minorHAnsi" w:hAnsiTheme="minorHAnsi" w:cs="Arial"/>
          <w:bCs/>
          <w:sz w:val="20"/>
          <w:szCs w:val="20"/>
        </w:rPr>
        <w:t xml:space="preserve"> TTF, rilevate da ICIS-</w:t>
      </w:r>
      <w:proofErr w:type="spellStart"/>
      <w:r w:rsidRPr="00562392">
        <w:rPr>
          <w:rFonts w:asciiTheme="minorHAnsi" w:hAnsiTheme="minorHAnsi" w:cs="Arial"/>
          <w:bCs/>
          <w:sz w:val="20"/>
          <w:szCs w:val="20"/>
        </w:rPr>
        <w:t>Heren</w:t>
      </w:r>
      <w:proofErr w:type="spellEnd"/>
      <w:r w:rsidRPr="00562392">
        <w:rPr>
          <w:rFonts w:asciiTheme="minorHAnsi" w:hAnsiTheme="minorHAnsi" w:cs="Arial"/>
          <w:bCs/>
          <w:sz w:val="20"/>
          <w:szCs w:val="20"/>
        </w:rPr>
        <w:t xml:space="preserve"> con riferimento al secondo mese solare a</w:t>
      </w:r>
      <w:r>
        <w:rPr>
          <w:rFonts w:asciiTheme="minorHAnsi" w:hAnsiTheme="minorHAnsi" w:cs="Arial"/>
          <w:bCs/>
          <w:sz w:val="20"/>
          <w:szCs w:val="20"/>
        </w:rPr>
        <w:t>ntecedente il trimestre t-esimo</w:t>
      </w:r>
      <w:r w:rsidRPr="00562392">
        <w:rPr>
          <w:rFonts w:asciiTheme="minorHAnsi" w:hAnsiTheme="minorHAnsi" w:cs="Arial"/>
          <w:bCs/>
          <w:sz w:val="20"/>
          <w:szCs w:val="20"/>
        </w:rPr>
        <w:t>, sia per forniture a prezzo variabile a 12 che a prezzo variabile a 24 mesi?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A547D" w14:paraId="24258916" w14:textId="77777777" w:rsidTr="009616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95D1CC6" w14:textId="77777777" w:rsidR="00BA547D" w:rsidRDefault="00BA547D" w:rsidP="009616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636AB3A" w14:textId="49E5D192" w:rsidR="00BA547D" w:rsidRDefault="00BA547D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BFD78FC" w14:textId="632A2171" w:rsidR="002F79F9" w:rsidRDefault="002F79F9" w:rsidP="0050339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631BA">
        <w:rPr>
          <w:rFonts w:asciiTheme="minorHAnsi" w:hAnsiTheme="minorHAnsi" w:cs="Arial"/>
          <w:bCs/>
          <w:sz w:val="20"/>
          <w:szCs w:val="20"/>
        </w:rPr>
        <w:t>Nella precedent</w:t>
      </w:r>
      <w:r>
        <w:rPr>
          <w:rFonts w:asciiTheme="minorHAnsi" w:hAnsiTheme="minorHAnsi" w:cs="Arial"/>
          <w:bCs/>
          <w:sz w:val="20"/>
          <w:szCs w:val="20"/>
        </w:rPr>
        <w:t>e edizione “Gas Naturale 13</w:t>
      </w:r>
      <w:r w:rsidRPr="00A631BA">
        <w:rPr>
          <w:rFonts w:asciiTheme="minorHAnsi" w:hAnsiTheme="minorHAnsi" w:cs="Arial"/>
          <w:bCs/>
          <w:sz w:val="20"/>
          <w:szCs w:val="20"/>
        </w:rPr>
        <w:t>” il fornitore era obbligato a rendere disponibile forniture a prezzo fisso per un quantitativo pari al 50% del massimale iniziale del Lotto. Per l</w:t>
      </w:r>
      <w:r>
        <w:rPr>
          <w:rFonts w:asciiTheme="minorHAnsi" w:hAnsiTheme="minorHAnsi" w:cs="Arial"/>
          <w:bCs/>
          <w:sz w:val="20"/>
          <w:szCs w:val="20"/>
        </w:rPr>
        <w:t>’</w:t>
      </w:r>
      <w:r w:rsidRPr="00A631BA">
        <w:rPr>
          <w:rFonts w:asciiTheme="minorHAnsi" w:hAnsiTheme="minorHAnsi" w:cs="Arial"/>
          <w:bCs/>
          <w:sz w:val="20"/>
          <w:szCs w:val="20"/>
        </w:rPr>
        <w:t>edizione</w:t>
      </w:r>
      <w:r>
        <w:rPr>
          <w:rFonts w:asciiTheme="minorHAnsi" w:hAnsiTheme="minorHAnsi" w:cs="Arial"/>
          <w:bCs/>
          <w:sz w:val="20"/>
          <w:szCs w:val="20"/>
        </w:rPr>
        <w:t xml:space="preserve"> “Gas Naturale 14”</w:t>
      </w:r>
      <w:r w:rsidRPr="00A631BA">
        <w:rPr>
          <w:rFonts w:asciiTheme="minorHAnsi" w:hAnsiTheme="minorHAnsi" w:cs="Arial"/>
          <w:bCs/>
          <w:sz w:val="20"/>
          <w:szCs w:val="20"/>
        </w:rPr>
        <w:t xml:space="preserve"> è in valutazione la predisposizione di appositi Lotti con massimale a prezzo fisso e Lotti con massimale a prezzo variabile. Cosa ne pensate?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F79F9" w14:paraId="0D9CAA98" w14:textId="77777777" w:rsidTr="0096165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16C94FF" w14:textId="77777777" w:rsidR="002F79F9" w:rsidRDefault="002F79F9" w:rsidP="0096165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F9C6BF9" w14:textId="77777777" w:rsidR="002F79F9" w:rsidRDefault="002F79F9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706E42F" w14:textId="33924DEE" w:rsidR="00AB14C1" w:rsidRPr="00AB14C1" w:rsidRDefault="00AB14C1" w:rsidP="00503393">
      <w:pPr>
        <w:pStyle w:val="Paragrafoelenco"/>
        <w:numPr>
          <w:ilvl w:val="0"/>
          <w:numId w:val="4"/>
        </w:num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AB14C1">
        <w:rPr>
          <w:rFonts w:asciiTheme="minorHAnsi" w:hAnsiTheme="minorHAnsi" w:cs="Arial"/>
          <w:bCs/>
          <w:sz w:val="20"/>
          <w:szCs w:val="20"/>
        </w:rPr>
        <w:t>Nella precedente edizione “</w:t>
      </w:r>
      <w:r w:rsidRPr="00AB14C1">
        <w:rPr>
          <w:rFonts w:asciiTheme="minorHAnsi" w:hAnsiTheme="minorHAnsi" w:cs="Arial"/>
          <w:b/>
          <w:bCs/>
          <w:i/>
          <w:sz w:val="20"/>
          <w:szCs w:val="20"/>
        </w:rPr>
        <w:t>Gas Naturale 13</w:t>
      </w:r>
      <w:r w:rsidRPr="00AB14C1">
        <w:rPr>
          <w:rFonts w:asciiTheme="minorHAnsi" w:hAnsiTheme="minorHAnsi" w:cs="Arial"/>
          <w:bCs/>
          <w:sz w:val="20"/>
          <w:szCs w:val="20"/>
        </w:rPr>
        <w:t>” dallo spread offerto erano esclus</w:t>
      </w:r>
      <w:r w:rsidR="003934C8">
        <w:rPr>
          <w:rFonts w:asciiTheme="minorHAnsi" w:hAnsiTheme="minorHAnsi" w:cs="Arial"/>
          <w:bCs/>
          <w:sz w:val="20"/>
          <w:szCs w:val="20"/>
        </w:rPr>
        <w:t>i</w:t>
      </w:r>
      <w:r w:rsidRPr="00AB14C1">
        <w:rPr>
          <w:rFonts w:asciiTheme="minorHAnsi" w:hAnsiTheme="minorHAnsi" w:cs="Arial"/>
          <w:bCs/>
          <w:sz w:val="20"/>
          <w:szCs w:val="20"/>
        </w:rPr>
        <w:t xml:space="preserve"> il servizio di distribuzione ed i relativi eventuali oneri come previsti dalla normativa vigente; </w:t>
      </w:r>
      <w:r>
        <w:rPr>
          <w:rFonts w:asciiTheme="minorHAnsi" w:hAnsiTheme="minorHAnsi" w:cs="Arial"/>
          <w:bCs/>
          <w:sz w:val="20"/>
          <w:szCs w:val="20"/>
        </w:rPr>
        <w:t>le componenti tariffarie</w:t>
      </w:r>
      <w:r w:rsidRPr="00AB14C1">
        <w:rPr>
          <w:rFonts w:asciiTheme="minorHAnsi" w:hAnsiTheme="minorHAnsi" w:cs="Arial"/>
          <w:bCs/>
          <w:sz w:val="20"/>
          <w:szCs w:val="20"/>
        </w:rPr>
        <w:t xml:space="preserve"> SD, i corrispettivi unitari variabili, CRV</w:t>
      </w:r>
      <w:r w:rsidRPr="00AB14C1">
        <w:rPr>
          <w:rFonts w:asciiTheme="minorHAnsi" w:hAnsiTheme="minorHAnsi" w:cs="Arial"/>
          <w:bCs/>
          <w:sz w:val="20"/>
          <w:szCs w:val="20"/>
          <w:vertAlign w:val="superscript"/>
        </w:rPr>
        <w:t>FG</w:t>
      </w:r>
      <w:r w:rsidRPr="00AB14C1">
        <w:rPr>
          <w:rFonts w:asciiTheme="minorHAnsi" w:hAnsiTheme="minorHAnsi" w:cs="Arial"/>
          <w:bCs/>
          <w:sz w:val="20"/>
          <w:szCs w:val="20"/>
        </w:rPr>
        <w:t>, CRV</w:t>
      </w:r>
      <w:r w:rsidRPr="00AB14C1">
        <w:rPr>
          <w:rFonts w:asciiTheme="minorHAnsi" w:hAnsiTheme="minorHAnsi" w:cs="Arial"/>
          <w:bCs/>
          <w:sz w:val="20"/>
          <w:szCs w:val="20"/>
          <w:vertAlign w:val="superscript"/>
        </w:rPr>
        <w:t>I</w:t>
      </w:r>
      <w:r w:rsidRPr="00AB14C1">
        <w:rPr>
          <w:rFonts w:asciiTheme="minorHAnsi" w:hAnsiTheme="minorHAnsi" w:cs="Arial"/>
          <w:bCs/>
          <w:sz w:val="20"/>
          <w:szCs w:val="20"/>
        </w:rPr>
        <w:t>, CRV</w:t>
      </w:r>
      <w:r w:rsidRPr="00AB14C1">
        <w:rPr>
          <w:rFonts w:asciiTheme="minorHAnsi" w:hAnsiTheme="minorHAnsi" w:cs="Arial"/>
          <w:bCs/>
          <w:sz w:val="20"/>
          <w:szCs w:val="20"/>
          <w:vertAlign w:val="superscript"/>
        </w:rPr>
        <w:t>OS</w:t>
      </w:r>
      <w:r w:rsidRPr="00AB14C1">
        <w:rPr>
          <w:rFonts w:asciiTheme="minorHAnsi" w:hAnsiTheme="minorHAnsi" w:cs="Arial"/>
          <w:bCs/>
          <w:sz w:val="20"/>
          <w:szCs w:val="20"/>
        </w:rPr>
        <w:t>, CRV</w:t>
      </w:r>
      <w:r w:rsidRPr="00AB14C1">
        <w:rPr>
          <w:rFonts w:asciiTheme="minorHAnsi" w:hAnsiTheme="minorHAnsi" w:cs="Arial"/>
          <w:bCs/>
          <w:sz w:val="20"/>
          <w:szCs w:val="20"/>
          <w:vertAlign w:val="superscript"/>
        </w:rPr>
        <w:t>BL</w:t>
      </w:r>
      <w:r w:rsidRPr="00AB14C1">
        <w:rPr>
          <w:rFonts w:asciiTheme="minorHAnsi" w:hAnsiTheme="minorHAnsi" w:cs="Arial"/>
          <w:bCs/>
          <w:sz w:val="20"/>
          <w:szCs w:val="20"/>
        </w:rPr>
        <w:t>, CRV</w:t>
      </w:r>
      <w:r w:rsidRPr="00AB14C1">
        <w:rPr>
          <w:rFonts w:asciiTheme="minorHAnsi" w:hAnsiTheme="minorHAnsi" w:cs="Arial"/>
          <w:bCs/>
          <w:sz w:val="20"/>
          <w:szCs w:val="20"/>
          <w:vertAlign w:val="superscript"/>
        </w:rPr>
        <w:t>ST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AB14C1">
        <w:rPr>
          <w:rFonts w:asciiTheme="minorHAnsi" w:hAnsiTheme="minorHAnsi" w:cs="Arial"/>
          <w:bCs/>
          <w:sz w:val="20"/>
          <w:szCs w:val="20"/>
        </w:rPr>
        <w:t xml:space="preserve">per i </w:t>
      </w:r>
      <w:proofErr w:type="spellStart"/>
      <w:r w:rsidRPr="00AB14C1">
        <w:rPr>
          <w:rFonts w:asciiTheme="minorHAnsi" w:hAnsiTheme="minorHAnsi" w:cs="Arial"/>
          <w:bCs/>
          <w:sz w:val="20"/>
          <w:szCs w:val="20"/>
        </w:rPr>
        <w:t>PdC</w:t>
      </w:r>
      <w:proofErr w:type="spellEnd"/>
      <w:r w:rsidRPr="00AB14C1">
        <w:rPr>
          <w:rFonts w:asciiTheme="minorHAnsi" w:hAnsiTheme="minorHAnsi" w:cs="Arial"/>
          <w:bCs/>
          <w:sz w:val="20"/>
          <w:szCs w:val="20"/>
        </w:rPr>
        <w:t xml:space="preserve"> (c.d. diretti) le componenti tariffarie GST, RET, UG3T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AB14C1">
        <w:rPr>
          <w:rFonts w:asciiTheme="minorHAnsi" w:hAnsiTheme="minorHAnsi" w:cs="Arial"/>
          <w:bCs/>
          <w:sz w:val="20"/>
          <w:szCs w:val="20"/>
        </w:rPr>
        <w:t xml:space="preserve"> le imposte e le addizionali, previste dalla normativa vigente e per la sola Categoria d’Uso Autotrazione, il contributo gesti</w:t>
      </w:r>
      <w:r>
        <w:rPr>
          <w:rFonts w:asciiTheme="minorHAnsi" w:hAnsiTheme="minorHAnsi" w:cs="Arial"/>
          <w:bCs/>
          <w:sz w:val="20"/>
          <w:szCs w:val="20"/>
        </w:rPr>
        <w:t>one fondo bombole metano (GFBM). P</w:t>
      </w:r>
      <w:r w:rsidRPr="00AB14C1">
        <w:rPr>
          <w:rFonts w:asciiTheme="minorHAnsi" w:hAnsiTheme="minorHAnsi" w:cs="Arial"/>
          <w:bCs/>
          <w:sz w:val="20"/>
          <w:szCs w:val="20"/>
        </w:rPr>
        <w:t>er l’edizione “</w:t>
      </w:r>
      <w:r w:rsidRPr="00AB14C1">
        <w:rPr>
          <w:rFonts w:asciiTheme="minorHAnsi" w:hAnsiTheme="minorHAnsi" w:cs="Arial"/>
          <w:b/>
          <w:bCs/>
          <w:i/>
          <w:sz w:val="20"/>
          <w:szCs w:val="20"/>
        </w:rPr>
        <w:t>Gas Naturale 14</w:t>
      </w:r>
      <w:r w:rsidRPr="00AB14C1">
        <w:rPr>
          <w:rFonts w:asciiTheme="minorHAnsi" w:hAnsiTheme="minorHAnsi" w:cs="Arial"/>
          <w:bCs/>
          <w:sz w:val="20"/>
          <w:szCs w:val="20"/>
        </w:rPr>
        <w:t xml:space="preserve">” è in valutazione, la possibilità di far competere i fornitori sulla sola componente energia andando quindi ad escludere dallo spread offerto tutte le componenti (cd. passanti) </w:t>
      </w:r>
      <w:r>
        <w:rPr>
          <w:rFonts w:asciiTheme="minorHAnsi" w:hAnsiTheme="minorHAnsi" w:cs="Arial"/>
          <w:bCs/>
          <w:sz w:val="20"/>
          <w:szCs w:val="20"/>
        </w:rPr>
        <w:t xml:space="preserve">sopracitate </w:t>
      </w:r>
      <w:r w:rsidRPr="00AB14C1">
        <w:rPr>
          <w:rFonts w:asciiTheme="minorHAnsi" w:hAnsiTheme="minorHAnsi" w:cs="Arial"/>
          <w:bCs/>
          <w:sz w:val="20"/>
          <w:szCs w:val="20"/>
        </w:rPr>
        <w:t>nonché</w:t>
      </w:r>
      <w:r>
        <w:rPr>
          <w:rFonts w:asciiTheme="minorHAnsi" w:hAnsiTheme="minorHAnsi" w:cs="Arial"/>
          <w:bCs/>
          <w:sz w:val="20"/>
          <w:szCs w:val="20"/>
        </w:rPr>
        <w:t>, rispetto alla precedente iniziativa,</w:t>
      </w:r>
      <w:r w:rsidRPr="00AB14C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76B56">
        <w:rPr>
          <w:rFonts w:asciiTheme="minorHAnsi" w:hAnsiTheme="minorHAnsi" w:cs="Arial"/>
          <w:bCs/>
          <w:sz w:val="20"/>
          <w:szCs w:val="20"/>
        </w:rPr>
        <w:t xml:space="preserve">sostituire i corrispettivi unitari variabili con </w:t>
      </w:r>
      <w:r w:rsidRPr="00AB14C1">
        <w:rPr>
          <w:rFonts w:asciiTheme="minorHAnsi" w:hAnsiTheme="minorHAnsi" w:cs="Arial"/>
          <w:bCs/>
          <w:sz w:val="20"/>
          <w:szCs w:val="20"/>
        </w:rPr>
        <w:t xml:space="preserve">i corrispettivi inclusi nella componente </w:t>
      </w:r>
      <w:proofErr w:type="spellStart"/>
      <w:r w:rsidRPr="00AB14C1">
        <w:rPr>
          <w:rFonts w:asciiTheme="minorHAnsi" w:hAnsiTheme="minorHAnsi" w:cs="Arial"/>
          <w:b/>
          <w:bCs/>
          <w:sz w:val="20"/>
          <w:szCs w:val="20"/>
        </w:rPr>
        <w:t>QTt</w:t>
      </w:r>
      <w:proofErr w:type="spellEnd"/>
      <w:r w:rsidRPr="00AB14C1">
        <w:rPr>
          <w:rFonts w:asciiTheme="minorHAnsi" w:hAnsiTheme="minorHAnsi" w:cs="Arial"/>
          <w:bCs/>
          <w:sz w:val="20"/>
          <w:szCs w:val="20"/>
        </w:rPr>
        <w:t xml:space="preserve"> la cui formula è riportata all’art. 8.1 del TIVG. Cosa ne pensate? Quali criticità riscontrate?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0160B" w14:paraId="742C42D9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20CE7F9" w14:textId="77777777" w:rsidR="0060160B" w:rsidRDefault="0060160B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0D87B9" w14:textId="77777777" w:rsidR="0060160B" w:rsidRDefault="0060160B" w:rsidP="0060160B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AAD431" w14:textId="2E4DB5B1" w:rsidR="0071172D" w:rsidRPr="00CE6A88" w:rsidRDefault="0071172D" w:rsidP="00503393">
      <w:pPr>
        <w:pStyle w:val="Paragrafoelenco"/>
        <w:numPr>
          <w:ilvl w:val="0"/>
          <w:numId w:val="4"/>
        </w:numPr>
        <w:spacing w:after="120"/>
        <w:rPr>
          <w:rFonts w:asciiTheme="minorHAnsi" w:hAnsiTheme="minorHAnsi" w:cs="Arial"/>
          <w:bCs/>
          <w:sz w:val="20"/>
          <w:szCs w:val="20"/>
        </w:rPr>
      </w:pPr>
      <w:r w:rsidRPr="00CE6A88">
        <w:rPr>
          <w:rFonts w:asciiTheme="minorHAnsi" w:hAnsiTheme="minorHAnsi" w:cs="Arial"/>
          <w:bCs/>
          <w:sz w:val="20"/>
          <w:szCs w:val="20"/>
        </w:rPr>
        <w:lastRenderedPageBreak/>
        <w:t xml:space="preserve">Con riferimento alla precedente edizione “Gas Naturale </w:t>
      </w:r>
      <w:r>
        <w:rPr>
          <w:rFonts w:asciiTheme="minorHAnsi" w:hAnsiTheme="minorHAnsi" w:cs="Arial"/>
          <w:bCs/>
          <w:sz w:val="20"/>
          <w:szCs w:val="20"/>
        </w:rPr>
        <w:t>13</w:t>
      </w:r>
      <w:r w:rsidRPr="00CE6A88">
        <w:rPr>
          <w:rFonts w:asciiTheme="minorHAnsi" w:hAnsiTheme="minorHAnsi" w:cs="Arial"/>
          <w:bCs/>
          <w:sz w:val="20"/>
          <w:szCs w:val="20"/>
        </w:rPr>
        <w:t>”, quale criticità avete riscontrato nell’attivazione</w:t>
      </w:r>
      <w:r w:rsidR="005919DB">
        <w:rPr>
          <w:rFonts w:asciiTheme="minorHAnsi" w:hAnsiTheme="minorHAnsi" w:cs="Arial"/>
          <w:bCs/>
          <w:sz w:val="20"/>
          <w:szCs w:val="20"/>
        </w:rPr>
        <w:t xml:space="preserve"> e successiva </w:t>
      </w:r>
      <w:r w:rsidRPr="00CE6A88">
        <w:rPr>
          <w:rFonts w:asciiTheme="minorHAnsi" w:hAnsiTheme="minorHAnsi" w:cs="Arial"/>
          <w:bCs/>
          <w:sz w:val="20"/>
          <w:szCs w:val="20"/>
        </w:rPr>
        <w:t>gestione delle richieste di nuovi allacci alla rete? Quale soluzioni proponete per superarle?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1172D" w14:paraId="1FA70A03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A349E3C" w14:textId="77777777" w:rsidR="0071172D" w:rsidRDefault="0071172D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9ED68A" w14:textId="7E03EA1C" w:rsidR="0071172D" w:rsidRDefault="0071172D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8EACFA9" w14:textId="3A43494F" w:rsidR="0071172D" w:rsidRPr="009D62CE" w:rsidRDefault="0071172D" w:rsidP="00503393">
      <w:pPr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E20D7">
        <w:rPr>
          <w:rFonts w:asciiTheme="minorHAnsi" w:hAnsiTheme="minorHAnsi" w:cs="Arial"/>
          <w:bCs/>
          <w:sz w:val="20"/>
          <w:szCs w:val="20"/>
        </w:rPr>
        <w:t>Con riferimento alla precedente edizione “</w:t>
      </w:r>
      <w:r>
        <w:rPr>
          <w:rFonts w:asciiTheme="minorHAnsi" w:hAnsiTheme="minorHAnsi" w:cs="Arial"/>
          <w:bCs/>
          <w:sz w:val="20"/>
          <w:szCs w:val="20"/>
        </w:rPr>
        <w:t>Gas Naturale 13</w:t>
      </w:r>
      <w:r w:rsidRPr="00AE20D7">
        <w:rPr>
          <w:rFonts w:asciiTheme="minorHAnsi" w:hAnsiTheme="minorHAnsi" w:cs="Arial"/>
          <w:bCs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>, quali criticità riscontrate sulle richieste di voltura (v</w:t>
      </w:r>
      <w:r w:rsidRPr="0089157D">
        <w:rPr>
          <w:rFonts w:asciiTheme="minorHAnsi" w:hAnsiTheme="minorHAnsi" w:cs="Arial"/>
          <w:bCs/>
          <w:sz w:val="20"/>
          <w:szCs w:val="20"/>
        </w:rPr>
        <w:t>ariazione della titolarità di una fornitura da un cliente ad un altro</w:t>
      </w:r>
      <w:r>
        <w:rPr>
          <w:rFonts w:asciiTheme="minorHAnsi" w:hAnsiTheme="minorHAnsi" w:cs="Arial"/>
          <w:bCs/>
          <w:sz w:val="20"/>
          <w:szCs w:val="20"/>
        </w:rPr>
        <w:t xml:space="preserve">)? </w:t>
      </w:r>
      <w:r w:rsidRPr="00A631BA">
        <w:rPr>
          <w:rFonts w:asciiTheme="minorHAnsi" w:hAnsiTheme="minorHAnsi" w:cs="Arial"/>
          <w:bCs/>
          <w:sz w:val="20"/>
          <w:szCs w:val="20"/>
        </w:rPr>
        <w:t>Quale soluzioni proponete per superarle?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1172D" w14:paraId="6227690F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32D767C" w14:textId="77777777" w:rsidR="0071172D" w:rsidRDefault="0071172D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393EA3" w14:textId="3F20B8D1" w:rsidR="0071172D" w:rsidRDefault="0071172D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2EFF7B" w14:textId="77777777" w:rsidR="0071172D" w:rsidRDefault="0071172D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>Quali ostacoli individuate nelle forniture alla PA? Quali strumenti proponete per superarli/migliorarli?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1172D" w14:paraId="6E37A6C6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20BEAB4" w14:textId="77777777" w:rsidR="0071172D" w:rsidRDefault="0071172D" w:rsidP="00D3322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805DA49" w14:textId="77777777" w:rsidR="0071172D" w:rsidRDefault="0071172D" w:rsidP="0071172D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634801C" w14:textId="7AB79F9B" w:rsidR="00361D02" w:rsidRPr="00361D02" w:rsidRDefault="00361D02" w:rsidP="00D40FDC">
      <w:pPr>
        <w:pStyle w:val="Paragrafoelenco"/>
        <w:numPr>
          <w:ilvl w:val="0"/>
          <w:numId w:val="4"/>
        </w:numPr>
        <w:spacing w:after="120"/>
        <w:ind w:left="357" w:hanging="357"/>
        <w:rPr>
          <w:rFonts w:asciiTheme="minorHAnsi" w:hAnsiTheme="minorHAnsi" w:cs="Arial"/>
          <w:bCs/>
          <w:sz w:val="20"/>
          <w:szCs w:val="20"/>
        </w:rPr>
      </w:pPr>
      <w:r w:rsidRPr="00361D02">
        <w:rPr>
          <w:rFonts w:asciiTheme="minorHAnsi" w:hAnsiTheme="minorHAnsi" w:cs="Arial"/>
          <w:bCs/>
          <w:sz w:val="20"/>
          <w:szCs w:val="20"/>
        </w:rPr>
        <w:t>A vostro giudizio ritenete possano intervenire dei mutamenti di carattere normativo e</w:t>
      </w:r>
      <w:r w:rsidR="006F1E2E">
        <w:rPr>
          <w:rFonts w:asciiTheme="minorHAnsi" w:hAnsiTheme="minorHAnsi" w:cs="Arial"/>
          <w:bCs/>
          <w:sz w:val="20"/>
          <w:szCs w:val="20"/>
        </w:rPr>
        <w:t>/o</w:t>
      </w:r>
      <w:r w:rsidRPr="00361D02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361D02">
        <w:rPr>
          <w:rFonts w:asciiTheme="minorHAnsi" w:hAnsiTheme="minorHAnsi" w:cs="Arial"/>
          <w:bCs/>
          <w:sz w:val="20"/>
          <w:szCs w:val="20"/>
        </w:rPr>
        <w:t>regolatorio</w:t>
      </w:r>
      <w:proofErr w:type="spellEnd"/>
      <w:r w:rsidRPr="00361D02">
        <w:rPr>
          <w:rFonts w:asciiTheme="minorHAnsi" w:hAnsiTheme="minorHAnsi" w:cs="Arial"/>
          <w:bCs/>
          <w:sz w:val="20"/>
          <w:szCs w:val="20"/>
        </w:rPr>
        <w:t xml:space="preserve"> (deliberazioni dell’ARERA attualmente in fase di consultazione, recepimento di Direttive Comunitarie, rilascio di normative nazionali, …) in grado di condizionare la vostra partecipazione alla gara? Se si quali e come proponete di superarli?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61D02" w14:paraId="44A3E6D0" w14:textId="77777777" w:rsidTr="00B002E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E483EF4" w14:textId="77777777" w:rsidR="00361D02" w:rsidRDefault="00361D02" w:rsidP="00B002E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22AFD50" w14:textId="58924619" w:rsidR="00361D02" w:rsidRDefault="00361D02" w:rsidP="00D40FDC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982018" w14:textId="77777777" w:rsidR="00361D02" w:rsidRDefault="00361D02" w:rsidP="00D40FDC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AEB354F" w14:textId="77777777" w:rsidR="00361D02" w:rsidRDefault="00361D02" w:rsidP="00D40FDC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3941323" w14:textId="77C09542" w:rsidR="0071172D" w:rsidRDefault="0071172D" w:rsidP="00503393">
      <w:pPr>
        <w:numPr>
          <w:ilvl w:val="0"/>
          <w:numId w:val="4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lastRenderedPageBreak/>
        <w:t>Ulteriori segnalazioni a discrezione dell’interessato.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1172D" w14:paraId="2E975BDF" w14:textId="77777777" w:rsidTr="00D3322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2AEFFC8" w14:textId="77777777" w:rsidR="0071172D" w:rsidRPr="000E4DD2" w:rsidRDefault="0071172D" w:rsidP="00D3322E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55F057C" w14:textId="77777777" w:rsidR="0071172D" w:rsidRDefault="0071172D" w:rsidP="00D61502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71172D" w:rsidRPr="0071172D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71172D" w:rsidRDefault="00BF387E" w:rsidP="00C75B3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71172D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F8D0" w14:textId="77777777" w:rsidR="00A731FD" w:rsidRDefault="00A731FD">
      <w:r>
        <w:separator/>
      </w:r>
    </w:p>
  </w:endnote>
  <w:endnote w:type="continuationSeparator" w:id="0">
    <w:p w14:paraId="21507B3C" w14:textId="77777777" w:rsidR="00A731FD" w:rsidRDefault="00A731FD">
      <w:r>
        <w:continuationSeparator/>
      </w:r>
    </w:p>
  </w:endnote>
  <w:endnote w:type="continuationNotice" w:id="1">
    <w:p w14:paraId="06E9F94E" w14:textId="77777777" w:rsidR="00A731FD" w:rsidRDefault="00A73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08C34679" w:rsidR="006726F6" w:rsidRPr="00FE6099" w:rsidRDefault="005919DB" w:rsidP="00A96ABA">
    <w:pPr>
      <w:pStyle w:val="Pidipagina"/>
      <w:pBdr>
        <w:top w:val="single" w:sz="4" w:space="1" w:color="auto"/>
      </w:pBdr>
      <w:rPr>
        <w:rFonts w:ascii="Calibri" w:hAnsi="Calibri"/>
        <w:iCs/>
        <w:color w:val="C0C0C0"/>
        <w:sz w:val="16"/>
        <w:szCs w:val="16"/>
      </w:rPr>
    </w:pPr>
    <w:r w:rsidRPr="00FE6099">
      <w:rPr>
        <w:rFonts w:ascii="Calibri" w:hAnsi="Calibri"/>
        <w:iCs/>
        <w:noProof/>
        <w:color w:val="C0C0C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1F1279E8">
              <wp:simplePos x="0" y="0"/>
              <wp:positionH relativeFrom="column">
                <wp:posOffset>4716366</wp:posOffset>
              </wp:positionH>
              <wp:positionV relativeFrom="paragraph">
                <wp:posOffset>29320</wp:posOffset>
              </wp:positionV>
              <wp:extent cx="779228" cy="274320"/>
              <wp:effectExtent l="0" t="0" r="190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228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1BB07433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056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056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35pt;margin-top:2.3pt;width:61.3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" stroked="f">
              <v:textbox>
                <w:txbxContent>
                  <w:p w14:paraId="3C0DE10B" w14:textId="1BB07433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D056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D056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6726F6">
      <w:rPr>
        <w:rFonts w:ascii="Calibri" w:hAnsi="Calibri"/>
        <w:iCs/>
        <w:color w:val="C0C0C0"/>
        <w:sz w:val="16"/>
        <w:szCs w:val="16"/>
      </w:rPr>
      <w:t xml:space="preserve">Consip S.p.A. - </w:t>
    </w:r>
    <w:r w:rsidR="00FE6099" w:rsidRPr="00FE6099">
      <w:rPr>
        <w:rFonts w:ascii="Calibri" w:hAnsi="Calibri"/>
        <w:iCs/>
        <w:color w:val="C0C0C0"/>
        <w:sz w:val="16"/>
        <w:szCs w:val="16"/>
      </w:rPr>
      <w:t xml:space="preserve"> Consultazione del mercato per la gara per la fornitura di gas naturale</w:t>
    </w:r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386A2ED0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92A81" w14:textId="77777777" w:rsidR="00A731FD" w:rsidRDefault="00A731FD">
      <w:r>
        <w:separator/>
      </w:r>
    </w:p>
  </w:footnote>
  <w:footnote w:type="continuationSeparator" w:id="0">
    <w:p w14:paraId="3D226BAB" w14:textId="77777777" w:rsidR="00A731FD" w:rsidRDefault="00A731FD">
      <w:r>
        <w:continuationSeparator/>
      </w:r>
    </w:p>
  </w:footnote>
  <w:footnote w:type="continuationNotice" w:id="1">
    <w:p w14:paraId="68A2EF84" w14:textId="77777777" w:rsidR="00A731FD" w:rsidRDefault="00A73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182A25FF"/>
    <w:multiLevelType w:val="hybridMultilevel"/>
    <w:tmpl w:val="D3DC155A"/>
    <w:lvl w:ilvl="0" w:tplc="B7D032B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A44DFC"/>
    <w:multiLevelType w:val="hybridMultilevel"/>
    <w:tmpl w:val="28FA89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0365A1"/>
    <w:multiLevelType w:val="hybridMultilevel"/>
    <w:tmpl w:val="7B48E516"/>
    <w:lvl w:ilvl="0" w:tplc="0410000F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00019">
      <w:start w:val="1"/>
      <w:numFmt w:val="decimal"/>
      <w:pStyle w:val="ConvC1"/>
      <w:lvlText w:val="%2."/>
      <w:lvlJc w:val="left"/>
      <w:pPr>
        <w:tabs>
          <w:tab w:val="num" w:pos="2236"/>
        </w:tabs>
        <w:ind w:left="2236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6" w15:restartNumberingAfterBreak="0">
    <w:nsid w:val="5922355E"/>
    <w:multiLevelType w:val="hybridMultilevel"/>
    <w:tmpl w:val="EF66C00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B52DCF"/>
    <w:multiLevelType w:val="hybridMultilevel"/>
    <w:tmpl w:val="8494C9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B7811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2F79F9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11F3"/>
    <w:rsid w:val="00332D55"/>
    <w:rsid w:val="00340136"/>
    <w:rsid w:val="00340854"/>
    <w:rsid w:val="00352242"/>
    <w:rsid w:val="003536C1"/>
    <w:rsid w:val="00354B5A"/>
    <w:rsid w:val="00356069"/>
    <w:rsid w:val="003563F2"/>
    <w:rsid w:val="00361D0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34C8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51888"/>
    <w:rsid w:val="00461FFB"/>
    <w:rsid w:val="0046313D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3393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392"/>
    <w:rsid w:val="00562496"/>
    <w:rsid w:val="00571B75"/>
    <w:rsid w:val="00573E32"/>
    <w:rsid w:val="00585ECE"/>
    <w:rsid w:val="00590AF7"/>
    <w:rsid w:val="005919DB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160B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E1974"/>
    <w:rsid w:val="006F1E2E"/>
    <w:rsid w:val="006F3006"/>
    <w:rsid w:val="006F410D"/>
    <w:rsid w:val="006F5F09"/>
    <w:rsid w:val="006F5F4A"/>
    <w:rsid w:val="006F796A"/>
    <w:rsid w:val="00705F8D"/>
    <w:rsid w:val="007100E3"/>
    <w:rsid w:val="00710245"/>
    <w:rsid w:val="0071172D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890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0FE"/>
    <w:rsid w:val="00952F86"/>
    <w:rsid w:val="00953399"/>
    <w:rsid w:val="00955FB5"/>
    <w:rsid w:val="009615FF"/>
    <w:rsid w:val="00962189"/>
    <w:rsid w:val="0097515C"/>
    <w:rsid w:val="00985C47"/>
    <w:rsid w:val="00986F3A"/>
    <w:rsid w:val="00991CA4"/>
    <w:rsid w:val="009B0ED5"/>
    <w:rsid w:val="009B4DEC"/>
    <w:rsid w:val="009C037A"/>
    <w:rsid w:val="009C1D3E"/>
    <w:rsid w:val="009C25F2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36DD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1FD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14C1"/>
    <w:rsid w:val="00AB459D"/>
    <w:rsid w:val="00AC004C"/>
    <w:rsid w:val="00AC122A"/>
    <w:rsid w:val="00AC170B"/>
    <w:rsid w:val="00AD0566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1842"/>
    <w:rsid w:val="00BA2E23"/>
    <w:rsid w:val="00BA3E35"/>
    <w:rsid w:val="00BA547D"/>
    <w:rsid w:val="00BA71F1"/>
    <w:rsid w:val="00BB0D9F"/>
    <w:rsid w:val="00BB3CC6"/>
    <w:rsid w:val="00BB3D28"/>
    <w:rsid w:val="00BB4433"/>
    <w:rsid w:val="00BC1A12"/>
    <w:rsid w:val="00BC2589"/>
    <w:rsid w:val="00BC464F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16A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0FDC"/>
    <w:rsid w:val="00D41242"/>
    <w:rsid w:val="00D4198A"/>
    <w:rsid w:val="00D46602"/>
    <w:rsid w:val="00D47394"/>
    <w:rsid w:val="00D51DD6"/>
    <w:rsid w:val="00D56EE3"/>
    <w:rsid w:val="00D578EC"/>
    <w:rsid w:val="00D61502"/>
    <w:rsid w:val="00D62EA9"/>
    <w:rsid w:val="00D70704"/>
    <w:rsid w:val="00D73718"/>
    <w:rsid w:val="00D73FC4"/>
    <w:rsid w:val="00D76B56"/>
    <w:rsid w:val="00D837DB"/>
    <w:rsid w:val="00D94FC3"/>
    <w:rsid w:val="00D95CCD"/>
    <w:rsid w:val="00DA4AB5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42E6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5786B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180"/>
    <w:rsid w:val="00F47F03"/>
    <w:rsid w:val="00F617B0"/>
    <w:rsid w:val="00F63E78"/>
    <w:rsid w:val="00F64486"/>
    <w:rsid w:val="00F64525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C3387"/>
    <w:rsid w:val="00FD0F07"/>
    <w:rsid w:val="00FD2BA6"/>
    <w:rsid w:val="00FD61A6"/>
    <w:rsid w:val="00FE1BAC"/>
    <w:rsid w:val="00FE6099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ConvC1">
    <w:name w:val="ConvC1"/>
    <w:basedOn w:val="Normale"/>
    <w:rsid w:val="00BA547D"/>
    <w:pPr>
      <w:widowControl w:val="0"/>
      <w:numPr>
        <w:ilvl w:val="1"/>
        <w:numId w:val="5"/>
      </w:numPr>
      <w:tabs>
        <w:tab w:val="left" w:pos="397"/>
      </w:tabs>
      <w:spacing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EB1C-F2AE-4F05-B5AE-A14794BD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2141</Words>
  <Characters>12209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2021-02-04T08:30:00Z</dcterms:created>
  <dcterms:modified xsi:type="dcterms:W3CDTF">2021-03-03T08:05:00Z</dcterms:modified>
</cp:coreProperties>
</file>